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F3907" w14:textId="42C2BAEC" w:rsidR="00FA426C" w:rsidRPr="00FA426C" w:rsidRDefault="00FA426C" w:rsidP="00FA426C">
      <w:pPr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INFORMACIJA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STANJU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MLJEKARSTVA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POLJOPRIVREDE</w:t>
      </w:r>
    </w:p>
    <w:p w14:paraId="676B7D7C" w14:textId="77777777" w:rsidR="00FA426C" w:rsidRPr="00FA426C" w:rsidRDefault="00FA426C" w:rsidP="00FA426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21B9E3E0" w14:textId="490C099E" w:rsidR="00FA426C" w:rsidRPr="00FA426C" w:rsidRDefault="00FA426C" w:rsidP="00FA426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Uvod</w:t>
      </w:r>
    </w:p>
    <w:p w14:paraId="7367DC71" w14:textId="20BC0FE1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Krajem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mjeseca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prošle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proizvedeno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isporučuju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mljekaru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Mlijekoprodukt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obaviješteni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>
        <w:rPr>
          <w:rFonts w:ascii="Cambria" w:hAnsi="Cambria"/>
          <w:noProof/>
          <w:sz w:val="24"/>
          <w:szCs w:val="24"/>
          <w:lang w:val="sr-Latn-CS"/>
        </w:rPr>
        <w:t>januara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0,05 </w:t>
      </w:r>
      <w:r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litru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10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25%.</w:t>
      </w:r>
    </w:p>
    <w:p w14:paraId="7280D39C" w14:textId="691DC67D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značajnoj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ugrožena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naročito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uticala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činjenica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najavljeno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svega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nekoliko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ostavilo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mogućnost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prilagode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okolnostima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42EB8D" w14:textId="77C6A946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Posebno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zabrinjavajuće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uslovljeni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potpišu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nastavkom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potpisane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višegodišnje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Mlijekoprodukt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isključivo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Međutim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nezadovoljni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ponuđenim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željeli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potpišu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Međutim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osoblje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Mlijekoprodukt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usmenim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putem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upozoravalo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potpisati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nastavljen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povrijeđena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volje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Proizvođačima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uopšte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potpisali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omogućeno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mljekari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isporuče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9535F02" w14:textId="4DB7FC82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Reakcija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povredom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statusta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izostala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E70A0F4" w14:textId="71890C14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utisak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institucije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štite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uvoznički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lobi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nezaštićeni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6F72724" w14:textId="2BD82265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Postavlja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desiti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mjeseca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?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primorani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potpišu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aneks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institucije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stajati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>?</w:t>
      </w:r>
    </w:p>
    <w:p w14:paraId="32A585DE" w14:textId="7871B519" w:rsidR="00FA426C" w:rsidRP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Stanje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mljekarstva</w:t>
      </w:r>
    </w:p>
    <w:p w14:paraId="130D5DCF" w14:textId="1CFDEC3B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suočavaju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težim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privređivanja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obzirom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troškovi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repromaterijala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energije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izostaje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Naprotiv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početka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2026.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smanjuje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2D47E9B" w14:textId="6D05889C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Rast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potrošačkih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24%,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prosječna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64%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statistiku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Međutim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mljekarstva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ostavljen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putem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Situacija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postaje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složena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momentu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počinje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insistirati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prodajne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sistemski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ugrožena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perspektiva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D09C0D3" w14:textId="79274080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statistiku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197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177 </w:t>
      </w:r>
      <w:r>
        <w:rPr>
          <w:rFonts w:ascii="Cambria" w:hAnsi="Cambria"/>
          <w:noProof/>
          <w:sz w:val="24"/>
          <w:szCs w:val="24"/>
          <w:lang w:val="sr-Latn-CS"/>
        </w:rPr>
        <w:t>hiljada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10%,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Ovi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pokazuju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dužem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vremenskom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tendencije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ukazuju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preispitivanja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podrške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A372130" w14:textId="3F3C2DF1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Premija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litri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izdvaja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iznosila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0,28 </w:t>
      </w:r>
      <w:r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litri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Poređenja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Federacije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Bosne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Hercegovine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litri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izdvaja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0,4 </w:t>
      </w:r>
      <w:r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0,42 </w:t>
      </w:r>
      <w:r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podrška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mljekarstvu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Federaciji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Bosne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Hercegovine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50% </w:t>
      </w:r>
      <w:r>
        <w:rPr>
          <w:rFonts w:ascii="Cambria" w:hAnsi="Cambria"/>
          <w:noProof/>
          <w:sz w:val="24"/>
          <w:szCs w:val="24"/>
          <w:lang w:val="sr-Latn-CS"/>
        </w:rPr>
        <w:t>nego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napomenuti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početkom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2026.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Federaciji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Bosne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Hercegovine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suočeni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okolnosti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rezultat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prodaju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farme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tržišne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stočni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Federaciji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Bosne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Hercegovine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012AAB" w14:textId="1751D379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izazvalo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veliku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neizvjesnost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naročito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velikog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investirali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opremu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produktivnosti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kreditnih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Smanjenjem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15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30%, </w:t>
      </w:r>
      <w:r>
        <w:rPr>
          <w:rFonts w:ascii="Cambria" w:hAnsi="Cambria"/>
          <w:noProof/>
          <w:sz w:val="24"/>
          <w:szCs w:val="24"/>
          <w:lang w:val="sr-Latn-CS"/>
        </w:rPr>
        <w:t>egzistencija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nesporno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ugrožena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CEC21B" w14:textId="7E5D0905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Smanjenje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otkupljuje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prosjeku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15%, </w:t>
      </w:r>
      <w:r>
        <w:rPr>
          <w:rFonts w:ascii="Cambria" w:hAnsi="Cambria"/>
          <w:noProof/>
          <w:sz w:val="24"/>
          <w:szCs w:val="24"/>
          <w:lang w:val="sr-Latn-CS"/>
        </w:rPr>
        <w:t>smanjuje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izdvajanja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15% </w:t>
      </w:r>
      <w:r>
        <w:rPr>
          <w:rFonts w:ascii="Cambria" w:hAnsi="Cambria"/>
          <w:noProof/>
          <w:sz w:val="24"/>
          <w:szCs w:val="24"/>
          <w:lang w:val="sr-Latn-CS"/>
        </w:rPr>
        <w:t>moguće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0,28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0,33 </w:t>
      </w:r>
      <w:r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okviru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budžetskih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242C809" w14:textId="1DAC582E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Posljedica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trendova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posljednjih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nekoliko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iznenadnog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šoka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zadesio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doveo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izraženog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nezadovoljstva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zahtijeva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riješi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problem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otkupa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700B8CA" w14:textId="2B0DD014" w:rsidR="00FA426C" w:rsidRP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Stanje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poljoprivrede</w:t>
      </w:r>
    </w:p>
    <w:p w14:paraId="71BE0E12" w14:textId="4A376EB6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Poljoprivreda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okosnica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prehrambenog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suvereniteta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zemlje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Upravo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toga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mnoge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zemlje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značaj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učešće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bruto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domaćem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2ECFF0" w14:textId="60540332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Sektor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bilježi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trendove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posljedično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dovodi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konkurentnosti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8BFF41" w14:textId="77777777" w:rsid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17AD0DB8" w14:textId="77777777" w:rsid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03B2CF22" w14:textId="77777777" w:rsid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6E19F269" w14:textId="77777777" w:rsid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60B4F37E" w14:textId="77777777" w:rsid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55EBE65B" w14:textId="7475A7D8" w:rsidR="00FA426C" w:rsidRP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Slika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1. – </w:t>
      </w:r>
      <w:r>
        <w:rPr>
          <w:rFonts w:ascii="Cambria" w:hAnsi="Cambria"/>
          <w:noProof/>
          <w:sz w:val="24"/>
          <w:szCs w:val="24"/>
          <w:lang w:val="sr-Latn-CS"/>
        </w:rPr>
        <w:t>Pokrivenost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izvozom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</w:p>
    <w:p w14:paraId="55F1056D" w14:textId="77777777" w:rsidR="00FA426C" w:rsidRP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noProof/>
          <w:lang w:val="sr-Latn-CS"/>
        </w:rPr>
        <w:drawing>
          <wp:inline distT="0" distB="0" distL="0" distR="0" wp14:anchorId="12F92458" wp14:editId="7AF3F964">
            <wp:extent cx="4572000" cy="2628900"/>
            <wp:effectExtent l="0" t="0" r="0" b="0"/>
            <wp:docPr id="15748832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2ECFC43-CAE6-8A4D-FC89-1D348448F51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A6A14AC" w14:textId="0F00A576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potvrđuje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pokazuje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drastično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pokrivenosti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izvozom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područje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klasifikacije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djelatnosti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69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48%. </w:t>
      </w:r>
      <w:r>
        <w:rPr>
          <w:rFonts w:ascii="Cambria" w:hAnsi="Cambria"/>
          <w:noProof/>
          <w:sz w:val="24"/>
          <w:szCs w:val="24"/>
          <w:lang w:val="sr-Latn-CS"/>
        </w:rPr>
        <w:t>Pri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izvoz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146,1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146 </w:t>
      </w:r>
      <w:r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konvertibilnih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maraka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45%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210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304 </w:t>
      </w:r>
      <w:r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konvertibilnih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maraka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A7B770" w14:textId="0848A8EB" w:rsidR="00FA426C" w:rsidRPr="00FA426C" w:rsidRDefault="00FA426C" w:rsidP="00FA426C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Tabela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1. –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zabave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umjetnosti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rekreacije</w:t>
      </w:r>
    </w:p>
    <w:tbl>
      <w:tblPr>
        <w:tblW w:w="8646" w:type="dxa"/>
        <w:jc w:val="center"/>
        <w:tblLook w:val="04A0" w:firstRow="1" w:lastRow="0" w:firstColumn="1" w:lastColumn="0" w:noHBand="0" w:noVBand="1"/>
      </w:tblPr>
      <w:tblGrid>
        <w:gridCol w:w="1418"/>
        <w:gridCol w:w="2551"/>
        <w:gridCol w:w="2693"/>
        <w:gridCol w:w="1984"/>
      </w:tblGrid>
      <w:tr w:rsidR="00FA426C" w:rsidRPr="00FA426C" w14:paraId="2DE70D17" w14:textId="77777777" w:rsidTr="005C5AB1">
        <w:trPr>
          <w:trHeight w:val="300"/>
          <w:jc w:val="center"/>
        </w:trPr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735434B" w14:textId="43D82FE5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Godina</w:t>
            </w:r>
          </w:p>
        </w:tc>
        <w:tc>
          <w:tcPr>
            <w:tcW w:w="2551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163549C" w14:textId="2F399B46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Poljoprivreda</w:t>
            </w:r>
          </w:p>
        </w:tc>
        <w:tc>
          <w:tcPr>
            <w:tcW w:w="269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AB1BFA3" w14:textId="097CF58C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Zabava</w:t>
            </w: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 xml:space="preserve">, </w:t>
            </w: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umjetnost</w:t>
            </w: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 xml:space="preserve"> </w:t>
            </w: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i</w:t>
            </w: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 xml:space="preserve"> </w:t>
            </w: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rek</w:t>
            </w: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.</w:t>
            </w: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0119753" w14:textId="56F736F3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Ukupno</w:t>
            </w:r>
          </w:p>
        </w:tc>
      </w:tr>
      <w:tr w:rsidR="00FA426C" w:rsidRPr="00FA426C" w14:paraId="06BA5D01" w14:textId="77777777" w:rsidTr="005C5AB1">
        <w:trPr>
          <w:trHeight w:val="288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3EDFF34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C642B2F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8.530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9D973E2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4.118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63F555B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266.309</w:t>
            </w:r>
          </w:p>
        </w:tc>
      </w:tr>
      <w:tr w:rsidR="00FA426C" w:rsidRPr="00FA426C" w14:paraId="4862A80F" w14:textId="77777777" w:rsidTr="005C5AB1">
        <w:trPr>
          <w:trHeight w:val="276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68E93C8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2024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6C81DC6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7.761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62AFEA9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5.172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A78690C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289.772</w:t>
            </w:r>
          </w:p>
        </w:tc>
      </w:tr>
      <w:tr w:rsidR="00FA426C" w:rsidRPr="00FA426C" w14:paraId="5A5CF419" w14:textId="77777777" w:rsidTr="005C5AB1">
        <w:trPr>
          <w:trHeight w:val="276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BD611DB" w14:textId="45E8BE86" w:rsidR="00FA426C" w:rsidRPr="00FA426C" w:rsidRDefault="00FA426C" w:rsidP="005C5AB1">
            <w:pPr>
              <w:spacing w:after="0" w:line="240" w:lineRule="auto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 xml:space="preserve">% </w:t>
            </w:r>
            <w:r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promjene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E77C032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-9%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3151C80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26%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BF32847" w14:textId="77777777" w:rsidR="00FA426C" w:rsidRPr="00FA426C" w:rsidRDefault="00FA426C" w:rsidP="005C5AB1">
            <w:pPr>
              <w:spacing w:after="0" w:line="240" w:lineRule="auto"/>
              <w:jc w:val="right"/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</w:pPr>
            <w:r w:rsidRPr="00FA426C">
              <w:rPr>
                <w:rFonts w:ascii="Cambria" w:eastAsia="Times New Roman" w:hAnsi="Cambria" w:cs="Calibri"/>
                <w:noProof/>
                <w:color w:val="000000"/>
                <w:lang w:val="sr-Latn-CS"/>
              </w:rPr>
              <w:t>9%</w:t>
            </w:r>
          </w:p>
        </w:tc>
      </w:tr>
    </w:tbl>
    <w:p w14:paraId="3B0D47C9" w14:textId="77777777" w:rsidR="00FA426C" w:rsidRPr="00FA426C" w:rsidRDefault="00FA426C" w:rsidP="00FA426C">
      <w:pPr>
        <w:rPr>
          <w:rFonts w:ascii="Cambria" w:hAnsi="Cambria"/>
          <w:noProof/>
          <w:sz w:val="24"/>
          <w:szCs w:val="24"/>
          <w:lang w:val="sr-Latn-CS"/>
        </w:rPr>
      </w:pPr>
    </w:p>
    <w:p w14:paraId="0787C8A8" w14:textId="2BDB7399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statistiku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9%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8.530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7.761.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pripadaju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igre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sreću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zabave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umjetnosti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rekreacije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došlo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26%.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4.118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5.172.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nivou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tržišta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9%.</w:t>
      </w:r>
    </w:p>
    <w:p w14:paraId="7F299850" w14:textId="730860D4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pokazatelj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najbolje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odslikava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reformom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podrške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reforma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podrazumijeva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povećanje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podsticaja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poresko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rasterećenje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Finansiranje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reforme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sprovesti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obezbjeđem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fiskalnih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poput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igara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sreću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bilježe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brzi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ekonomski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efekte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društvenu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zajednicu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C5399C" w14:textId="38E2F50C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statistiku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ekonomski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33%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gotovo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dvostruko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(61%), </w:t>
      </w:r>
      <w:r>
        <w:rPr>
          <w:rFonts w:ascii="Cambria" w:hAnsi="Cambria"/>
          <w:noProof/>
          <w:sz w:val="24"/>
          <w:szCs w:val="24"/>
          <w:lang w:val="sr-Latn-CS"/>
        </w:rPr>
        <w:t>osnoano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gotovo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7 </w:t>
      </w:r>
      <w:r>
        <w:rPr>
          <w:rFonts w:ascii="Cambria" w:hAnsi="Cambria"/>
          <w:noProof/>
          <w:sz w:val="24"/>
          <w:szCs w:val="24"/>
          <w:lang w:val="sr-Latn-CS"/>
        </w:rPr>
        <w:t>puta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pripadaju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igre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sreću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(218%).</w:t>
      </w:r>
    </w:p>
    <w:p w14:paraId="1E3FFBF4" w14:textId="48CA4CAB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proizvedene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pšenice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2%,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189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185 </w:t>
      </w:r>
      <w:r>
        <w:rPr>
          <w:rFonts w:ascii="Cambria" w:hAnsi="Cambria"/>
          <w:noProof/>
          <w:sz w:val="24"/>
          <w:szCs w:val="24"/>
          <w:lang w:val="sr-Latn-CS"/>
        </w:rPr>
        <w:t>hiljada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Proizvedene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količine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kukuruza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21%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590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469 </w:t>
      </w:r>
      <w:r>
        <w:rPr>
          <w:rFonts w:ascii="Cambria" w:hAnsi="Cambria"/>
          <w:noProof/>
          <w:sz w:val="24"/>
          <w:szCs w:val="24"/>
          <w:lang w:val="sr-Latn-CS"/>
        </w:rPr>
        <w:t>hiljada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7B170DF" w14:textId="59B0287A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22%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467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366 </w:t>
      </w:r>
      <w:r>
        <w:rPr>
          <w:rFonts w:ascii="Cambria" w:hAnsi="Cambria"/>
          <w:noProof/>
          <w:sz w:val="24"/>
          <w:szCs w:val="24"/>
          <w:lang w:val="sr-Latn-CS"/>
        </w:rPr>
        <w:t>hiljada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10%,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612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548 </w:t>
      </w:r>
      <w:r>
        <w:rPr>
          <w:rFonts w:ascii="Cambria" w:hAnsi="Cambria"/>
          <w:noProof/>
          <w:sz w:val="24"/>
          <w:szCs w:val="24"/>
          <w:lang w:val="sr-Latn-CS"/>
        </w:rPr>
        <w:t>hiljada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43DB74" w14:textId="4207DF97" w:rsidR="00FA426C" w:rsidRP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>Podsticaji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>poljoprivredi</w:t>
      </w:r>
    </w:p>
    <w:p w14:paraId="7F46ACB5" w14:textId="07C80D59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nikada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donesen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dugo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najavljivani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Zakon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podsticajima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Glavna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služba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svojim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izvještajima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naglašavala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potrebu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definisanjem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jasnih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zakonskih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kriterijuma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raspodjelu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podsticajnih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55C851A" w14:textId="0F6C2441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Donošenje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Zakona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povećalo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transparentnost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raspodjele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novca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povjerenje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podršku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dobiti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zaista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zaslužuju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6B1F45" w14:textId="39D42473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namijenjena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subvencijama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mijenjaju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već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nekoliko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godina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budžetski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okvir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povećava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budžetska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subvencije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180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daleko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poželjnih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6%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iznosi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445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63F552" w14:textId="0BF7B411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Međutim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planirana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budžetska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namijenjena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kontinuitetu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realizuju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visini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planiranih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180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stavke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godini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isplaćeno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171,5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dok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godini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stavka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potrošena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iznosu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174,5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miliona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Rebalansima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preraspodjeljena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druge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stavke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finansija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smanjenja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obrazložili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način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dovoljna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dodatnih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potreba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subvencijama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C73DA8" w14:textId="3DAEAC0B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Poljoprivrednici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smatraju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dodatne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potrebe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subvencionisanjem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Naprotiv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smatraju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povećati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budžetska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7951AF7" w14:textId="4CA555F1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Dio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suočava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dodatnim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izazovima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pitanju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ostvarivanje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podsticaje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primjer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proizvođači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teritorije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Grada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Prijedora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mogućnosti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ostvariti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podsticaja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razloga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posjeduju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ugovore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zakup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zemljišta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efektivno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obrađuju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formalno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>-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pravnih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razloga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prilagoditi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podzakonske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akte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omogućeno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poljoprivrednicima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ostvare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pravo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podsticaje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5CE7F4E" w14:textId="77777777" w:rsid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1975BF02" w14:textId="77777777" w:rsid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4AB38302" w14:textId="77777777" w:rsid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E3853C4" w14:textId="552D6CCB" w:rsidR="00FA426C" w:rsidRPr="00FA426C" w:rsidRDefault="00FA426C" w:rsidP="00FA426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bookmarkStart w:id="0" w:name="_GoBack"/>
      <w:bookmarkEnd w:id="0"/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lastRenderedPageBreak/>
        <w:t>Zahtjevi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b/>
          <w:bCs/>
          <w:noProof/>
          <w:sz w:val="24"/>
          <w:szCs w:val="24"/>
          <w:lang w:val="sr-Latn-CS"/>
        </w:rPr>
        <w:t>mlijeka</w:t>
      </w:r>
    </w:p>
    <w:p w14:paraId="31F25E78" w14:textId="6D00532C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Udruženje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mljekara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izrazilo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podršku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održavanju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posebne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sjednice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kojoj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razmatrati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pitanja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vezi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stanjem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mljekarstvu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prilikom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navelo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nekoliko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mjera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unapređenje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sektoru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>:</w:t>
      </w:r>
    </w:p>
    <w:p w14:paraId="3A1EFA62" w14:textId="182DD6B4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1.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Povećanje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učešća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okviru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izvornog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ciljem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dostizanja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učešća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6%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ukupnih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izdvajanja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517864CE" w14:textId="3F88EECC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2.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Trenutni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kriterijumi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dječiji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dodatak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nepravedno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ubrajaju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neophodnu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mehanizaciju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pokretnu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imovinu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čime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mnoge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porodice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gube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pravo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pomoć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uprkos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teškim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uslovima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života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često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nesigurnim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prihodima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Ugledajući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primjer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Srbije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izmjena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pravila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osigurala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bolji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položaj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seoske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djece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podstakla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ljudi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selu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zaista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urgentan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problem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predlažemo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radne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grupe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svega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MF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MPOS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kraja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marta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pripreme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rješenja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12C01F8F" w14:textId="4ADEE00F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3.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Označavanje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sadrže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druge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bjelančevine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masti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osim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mliječnih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rekonstituisanog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Dobili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smo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šumarstva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vodoprivrede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uvjeravanja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radna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grupa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krenula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radom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aktu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hvala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koraku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svakako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treba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upoznati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javnost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cilj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akta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znači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naše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građane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Nadamo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održavanja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sjednice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pripremljen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nacrt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Uredbe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6F8779ED" w14:textId="22F581C2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4.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Elektroprivreda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Ministarstvo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industrije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hitno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uključe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revitalizaciju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sistema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snabdijevanja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električnom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energijom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selima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Zaista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sramota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Božića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Božić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toliki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domovi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toliko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porodica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ostale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bez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struje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danima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majke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kao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godina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šporetima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drva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zagrijavale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vodu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kupaju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djecu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svjetlošću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fenjera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oglašava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3B5D7627" w14:textId="335B6D47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5.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Unaprijediti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seosku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infrastrukturu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svakom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pogledu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djeca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kad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školu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zaslužuju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trotoar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Izgraditi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8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metara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širinu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puta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auta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škrtariti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metru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trotoara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učenike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sramotno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neprofesionalno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inženjeri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projektuju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?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vrijedna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grada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zaslužuju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dobre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vodovode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kvalitetnu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telefonsku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mrežu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internet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obdaništa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škole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0B8A9628" w14:textId="56247DD7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6.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Pregovori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moraju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imati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svoje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predstavnike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pregovaračkom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timu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5EAF23CB" w14:textId="23CDD601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7.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Narodna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Skupština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zatraži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informaciju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nadležnih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organa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niovu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pitanju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sljedećeg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: </w:t>
      </w:r>
    </w:p>
    <w:p w14:paraId="7FFD037A" w14:textId="34347FDE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•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izvoz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mesa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obilježavanje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životinja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već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decenijama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smo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bez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rješenja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?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čiju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korist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? </w:t>
      </w:r>
    </w:p>
    <w:p w14:paraId="287B4C45" w14:textId="756DFB2C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•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zašto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mjera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iako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jasno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proizvodi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0406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uvoze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ispod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proizvođačkih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cijena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?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uopšte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sir</w:t>
      </w:r>
      <w:r w:rsidRPr="00FA426C">
        <w:rPr>
          <w:rFonts w:ascii="Cambria" w:hAnsi="Cambria"/>
          <w:noProof/>
          <w:sz w:val="24"/>
          <w:szCs w:val="24"/>
          <w:lang w:val="sr-Latn-CS"/>
        </w:rPr>
        <w:t>?</w:t>
      </w:r>
    </w:p>
    <w:p w14:paraId="1D29AABE" w14:textId="3CF092F1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lastRenderedPageBreak/>
        <w:t>8.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poljoprivrednici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mogu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aplicirati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svih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Ministarstava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čije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resorne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institucije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dobijaju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MPŠV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istim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iznosima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Dobar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primjer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jesu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institucije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pod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nadležnošću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nauke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tehnologije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finansiranje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solarnih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panela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sredstava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budžeta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MPŠV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dok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naknadu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OIE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skuplja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Elektroprivreda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RS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smisla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6287ECED" w14:textId="431B93B3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9.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 w:rsidRPr="00FA426C">
        <w:rPr>
          <w:rFonts w:ascii="Cambria" w:hAnsi="Cambria"/>
          <w:noProof/>
          <w:sz w:val="24"/>
          <w:szCs w:val="24"/>
          <w:lang w:val="sr-Latn-CS"/>
        </w:rPr>
        <w:t>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se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usvoje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propisi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koji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olakšavaju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nabavku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hrane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domaće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proizvodnje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škole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vrtiće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po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ugledu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EU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tzv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Školska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šema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bio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odličan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FA426C">
        <w:rPr>
          <w:rFonts w:ascii="Cambria" w:hAnsi="Cambria"/>
          <w:noProof/>
          <w:sz w:val="24"/>
          <w:szCs w:val="24"/>
          <w:lang w:val="sr-Latn-CS"/>
        </w:rPr>
        <w:t>ala</w:t>
      </w:r>
      <w:r>
        <w:rPr>
          <w:rFonts w:ascii="Cambria" w:hAnsi="Cambria"/>
          <w:noProof/>
          <w:sz w:val="24"/>
          <w:szCs w:val="24"/>
          <w:lang w:val="sr-Latn-CS"/>
        </w:rPr>
        <w:t>t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prodaju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roba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domaće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mliječnih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mesa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povrća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),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organskih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čiji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139918E4" w14:textId="3AC956B2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10.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Podrška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formiranju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proizvođačkih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organizacija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primjer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Naša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mljekara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.). </w:t>
      </w:r>
    </w:p>
    <w:p w14:paraId="735C9FAB" w14:textId="176B5710" w:rsidR="00FA426C" w:rsidRPr="00FA426C" w:rsidRDefault="00FA426C" w:rsidP="00FA426C">
      <w:pPr>
        <w:ind w:left="284" w:hanging="284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426C">
        <w:rPr>
          <w:rFonts w:ascii="Cambria" w:hAnsi="Cambria"/>
          <w:noProof/>
          <w:sz w:val="24"/>
          <w:szCs w:val="24"/>
          <w:lang w:val="sr-Latn-CS"/>
        </w:rPr>
        <w:t>11.</w:t>
      </w:r>
      <w:r w:rsidRPr="00FA426C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Podrška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kupovini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junica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domaćeg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uzgoja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uzgajivače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ugroženo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stanovništvo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izrazito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nerazvijenih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opština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cilju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očuvanja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genetike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povoljnije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minimalno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dvije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junice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maksimalno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4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slično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uzgoja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kontroli</w:t>
      </w:r>
      <w:r w:rsidRPr="00FA426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proizvodnosti</w:t>
      </w:r>
      <w:r w:rsidRPr="00FA426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664FD8" w14:textId="77777777" w:rsidR="00FA426C" w:rsidRPr="00FA426C" w:rsidRDefault="00FA426C" w:rsidP="00FA426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711DA86" w14:textId="77777777" w:rsidR="00FA426C" w:rsidRPr="00FA426C" w:rsidRDefault="00FA426C" w:rsidP="00FA426C">
      <w:pPr>
        <w:rPr>
          <w:noProof/>
          <w:lang w:val="sr-Latn-CS"/>
        </w:rPr>
      </w:pPr>
    </w:p>
    <w:p w14:paraId="55DFE6F0" w14:textId="77777777" w:rsidR="000655E2" w:rsidRPr="00FA426C" w:rsidRDefault="000655E2">
      <w:pPr>
        <w:rPr>
          <w:noProof/>
          <w:lang w:val="sr-Latn-CS"/>
        </w:rPr>
      </w:pPr>
    </w:p>
    <w:sectPr w:rsidR="000655E2" w:rsidRPr="00FA426C">
      <w:foot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926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B35EB8" w14:textId="77777777" w:rsidR="001836E2" w:rsidRDefault="00FA42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45C08B" w14:textId="77777777" w:rsidR="001836E2" w:rsidRDefault="00FA426C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D46"/>
    <w:rsid w:val="000655E2"/>
    <w:rsid w:val="00444A85"/>
    <w:rsid w:val="00AB0D46"/>
    <w:rsid w:val="00FA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35030"/>
  <w15:chartTrackingRefBased/>
  <w15:docId w15:val="{A2381C37-A38A-4F01-BE89-8FD313C8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26C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A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26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no2\Desktop\&#1055;&#1086;&#1113;&#1086;&#1087;&#1088;&#1080;&#1074;&#1088;&#1077;&#1076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Sheet1!$D$2</c:f>
              <c:strCache>
                <c:ptCount val="1"/>
                <c:pt idx="0">
                  <c:v>Покривеност увоза извозом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ambria" panose="02040503050406030204" pitchFamily="18" charset="0"/>
                    <a:ea typeface="Cambria" panose="02040503050406030204" pitchFamily="18" charset="0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Sheet1!$A$3:$A$4</c:f>
              <c:numCache>
                <c:formatCode>General</c:formatCode>
                <c:ptCount val="2"/>
                <c:pt idx="0">
                  <c:v>2018</c:v>
                </c:pt>
                <c:pt idx="1">
                  <c:v>2024</c:v>
                </c:pt>
              </c:numCache>
            </c:numRef>
          </c:cat>
          <c:val>
            <c:numRef>
              <c:f>Sheet1!$D$3:$D$4</c:f>
              <c:numCache>
                <c:formatCode>0%</c:formatCode>
                <c:ptCount val="2"/>
                <c:pt idx="0">
                  <c:v>0.69428921708387981</c:v>
                </c:pt>
                <c:pt idx="1">
                  <c:v>0.47955463592472164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5D-4D1E-A067-F80D0722E2B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355"/>
        <c:overlap val="-70"/>
        <c:axId val="1990709695"/>
        <c:axId val="1990692415"/>
      </c:barChart>
      <c:catAx>
        <c:axId val="19907096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1990692415"/>
        <c:crosses val="autoZero"/>
        <c:auto val="1"/>
        <c:lblAlgn val="ctr"/>
        <c:lblOffset val="100"/>
        <c:noMultiLvlLbl val="0"/>
      </c:catAx>
      <c:valAx>
        <c:axId val="1990692415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tx1">
                      <a:lumMod val="5000"/>
                      <a:lumOff val="95000"/>
                    </a:schemeClr>
                  </a:gs>
                  <a:gs pos="0">
                    <a:schemeClr val="tx1">
                      <a:lumMod val="25000"/>
                      <a:lumOff val="7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Cambria" panose="02040503050406030204" pitchFamily="18" charset="0"/>
                <a:cs typeface="+mn-cs"/>
              </a:defRPr>
            </a:pPr>
            <a:endParaRPr lang="en-US"/>
          </a:p>
        </c:txPr>
        <c:crossAx val="199070969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5000"/>
                <a:lumOff val="95000"/>
              </a:schemeClr>
            </a:gs>
            <a:gs pos="0">
              <a:schemeClr val="tx1">
                <a:lumMod val="25000"/>
                <a:lumOff val="7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5000"/>
                <a:lumOff val="95000"/>
              </a:schemeClr>
            </a:gs>
            <a:gs pos="0">
              <a:schemeClr val="tx1">
                <a:lumMod val="25000"/>
                <a:lumOff val="7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1867</Words>
  <Characters>10647</Characters>
  <Application>Microsoft Office Word</Application>
  <DocSecurity>0</DocSecurity>
  <Lines>88</Lines>
  <Paragraphs>24</Paragraphs>
  <ScaleCrop>false</ScaleCrop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Djajic</dc:creator>
  <cp:keywords/>
  <dc:description/>
  <cp:lastModifiedBy>Gordana Djajic</cp:lastModifiedBy>
  <cp:revision>2</cp:revision>
  <dcterms:created xsi:type="dcterms:W3CDTF">2026-02-03T09:40:00Z</dcterms:created>
  <dcterms:modified xsi:type="dcterms:W3CDTF">2026-02-03T09:41:00Z</dcterms:modified>
</cp:coreProperties>
</file>